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постановление суда округа основано на правильном применении норм материального и процессуального права, изложенные в нем выводы сформулированы по результатам полного и всестороннего исследования юридически значимых обстоятельств дела и надлежащей правой оценки представленных доказательств. Обжалуемое постановление принято в пределах полномочий, предоставленных суду кассационной инстанции (статьи 286, 287 Арбитражного процессуального кодекса Российской Федерации).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торговли и услуг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