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03.03.2022, оставленным без изменения постановлением Девятого арбитражного апелляционного суда от 15.06.2022 и постановлением Арбитражного суда Московского округа от 23.09.2022, положение утверждено в редакции финансового управляющего. В кассационных жалобах Богомоловы Ю.П., Г.В. и П.Ю. просят об отмене судебных актов, ссылаясь на достаточность имеющегося в конкурсной массе имущества для удовлетворения заявленных кредиторами требований, невозможность выдела в натуре спорной доли, нарушение прав членов семьи сына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Принадлежащая должнику спорная доля в квартире ранее принятыми судебными актами не признана имеющей исполнительского иммунитета и включена в конкурсную массу, следовательно, в отношении нее может быть утверждено положение о продаже. Права собственников других долей при продаже подлежат защите в соответствии с имеющимися правовыми институтами.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Богомолову Юрию Павловичу, Богомоловой Галине Викторовне и Богомолову Павлу Юрьевичу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