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исковые требования и подтверждая правильность этого вывода, суды руководствовались положениями законодательства, регулирующими спорные правоотношения, и исходили из установленных 2 обстоятельств, свидетельствующих о ненадлежащем исполнении ответчиком обязательств по спорному договору.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«Успешная команда «Русская сталь»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