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общество,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 первой инстанции, с которым впоследствии согласились суды апелляционной инстанции и округа, исследовав и оценив содержание поданного обществом заявления о пересмотре судебного акта по вновь открывшимся обстоятельствам и приложенных к нему документов, 2 руководствуясь статьями 309, 311 АПК РФ, пришел к выводу о том, что приведенные заявителем обстоятельства по смыслу статьи 311 АПК РФ не являются вновь открывшимися и не могут служить основанием для пересмотра принятого по существу спора судебного акта. Поскольку приведенные в кассационной жалобе доводы не опровергают выводы судов, не подтверждают существенных нарушений судами норм материального и (или) процессуального права, не имеется предусмотренных статьями 291.6 и 291.11 АПК РФ оснований для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Банк «Финансовая Корпорация Открытие»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