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(далее – АПК РФ)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представленные в материалы дела доказательства, руководствуясь положениями законодательства, регулирующими спорные правоотношения, установив факт оказания истцом (субоператор) в заявленный 2 период услуг по транспортированию твердых коммунальных отходов и неоплаты их ответчиком (оператор), указав на отсутствие со стороны последнего мотивированных возражений по объему и качеству оказанных услуг, проверив и признав верным представленный истцом расчет, суды первой и апелляционной инстанций удовлетворили исковые требования, с чем впоследствии согласился суд округа. Доводы кассационной жалобы не подтверждают наличие оснований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существенные нарушения норм материального права и (или) норм процессуального права, которые повлияли на исход дела.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общества с ограниченной ответственностью «ЭкоЛайф»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