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января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Костромской области от 08.04.2022, оставленным без изменения постановлением Второго арбитражного апелляционного суда от 22.06.2022 и постановлением Арбитражного суда Волго-Вятского округа от 21.10.2022, в удовлетворении заявления Соколова Н.М. об исправлении описки, допущенной в определении Арбитражного суда Костромской области от 14.03.2022, отказано. В кассационной жалобе Соколов Н.М. просит отменить судебные акты как незаконные.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2 Таких оснований в связи с доводами жалобы не усматривается. Изменение существа мотивировочной части определения, требуемое Соколовым Н.М., не попадает под случаи применения статьи 179 Арбитражного процессуального кодекса Российской Федерации, поэтому заявление правомерно отклонено.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