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14.03.2022, оставленным без изменения постановлением Семнадцатого арбитражного апелляционного суда от 24.05.2022 и постановлением Арбитражного суда Уральского округа от 16.09.2022, требование включено в третью очередь реестра. В кассационных жалобах заявители просят об отмене судебных актов, ссылаясь на нарушение в оценке доказательств, игнорирование аффилированности кредитора и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 не усматривается. Суды исследовали обстоятельства предоставления денежных средств и признали их отвечающим критериям статей 71, 100 Федерального закона от 26.10.2002 № 127-ФЗ «О несостоятельности (банкротстве)» для включения основанного на них требования в реестр. Аффилированность сторон сделки не является самостоятельным основанием для отказа во включении требования в реестр либо понижения очередности требования в деле о банкротстве гражданина. Вопросы доказывания и оценки доказательств, на которых основаны доводы жалоб,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Чернову Антону Сергеевичу и Макаровскому Михаилу Александровичу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