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17.04.2022, оставленным без изменения постановлением Шестнадцатого арбитражного апелляционного суда от 26.07.2022 и постановлением Арбитражного суда Северо-Кавказского округа от 22.09.2022, заявление удовлетворено. В кассационной жалобе банк просит об отмене судебных актов, ссылаясь на принятие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права банка не нарушенными, учитывая непредставление доказательств принадлежности должнику спорного имущества и ненахождение его в залоге у банка.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"Россельхозбанк" (подробнее) АО "Российский сельскохозяйственный банк" (подробнее) АО "Российский Сельскохозяйственный банк" (подробнее) Иные лица: АО "ЛИЗИНГОВАЯ КОМПАНИЯ РОССИЙСКОГО БАНКА ПОДДЕРЖКИ МАЛОГО И СРЕДНЕГО ПРЕДПРИНИМАТЕЛЬСТВА" (подробнее) Арбитражный суд Северо-Кавказского округа (подробнее) Министерство внутренних дел по Кабардино- Балкарской Республике (подробнее) ООО "Элеваторсервис" (подробнее) Отдел адресно-справочной службы УФМС России по КБР (подробнее) ПАО "Сбербанк" (подробнее) Управление Росреестра по КБР (подробнее) УФНС по КБР (подробнее) ФУ Малухов З.М.(бывший)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