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Мамаев Дмитрий Денисович обратился в Арбитражный суд Иркутской области с исковым заявлением, уточненным в порядке статьи 49 Арбитражного процессуального кодекса Российской Федерации (далее – АПК РФ), к Захаровой Дарье Романовне о взыскании 1 495 рублей убытков. Определением Арбитражного суда Иркутской области от 23.08.2022, оставленным без изменения постановлением Четвертого арбитражного апелляционного суда от 16.09.2022, дело передано в Иркутский областной суд для направления в суд обей юрисдикции, к подсудности которого оно отнесено законом.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процессуального права. В обоснование доводов жалобы заявитель указывает, что спор носит корпоративный характер, так как связан с вопросами управления Производственным кооперативом «Креатив Гудс» и уклонением ответчика от государственной регистрации в Едином государственном реестре юридических лиц изменений в сведения о юридическом лице. 2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Передавая дело в Иркутский областной суд для направления его в суд общей юрисдикции, к подсудности которого оно отнесено законом, арбитражный суд руководствовался положениями статей 27, 39, 225.1 АПК РФ, разъяснениями, изложенными в пункте 4 постановления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пункте 6 постановления Пленума Верховного Суда Российской Федерации от 30.06.2020 № 12 «О применении Арбитражного процессуального кодекса Российской Федерации при рассмотрении дел в арбитражном суде апелляционной инстанции» и исходил из того, что данный спор не является корпоративным, относящимся к подведомственности арбитражного суда.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Мамаева Дмитрия Денисовича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