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31.03.2022, оставленным без изменения постановлением Девятого арбитражного апелляционного суда от 22.06.2022 и постановлением Арбитражного суда Московского округа от 13.09.2022, заявление удовлетворено. В кассационной жалобе Бутошин С.И. просит об отмене судебных актов, ссылаясь на неправильную оценку обстоятельств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условия для недействительности платежей в силу пункта 2 статьи 61.2 Федерального закона от 26.10.2002 N 127 ФЗ «О несостоятельности (банкротстве)», требуемая должником переоценка которых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Бутошину Святославу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