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28.02.2022 требования в отношении лотов № 1, № 2 выделено в отдельное производство, требование в отношении лота № 3 оставлено без удовлетворения. Тринадцатый арбитражный апелляционный суд постановлением от 07.06.2022, оставленным без изменения постановлением Арбитражного суда Северо-Западного округа от 14.09.2022, отменил определение от 28.02.2022 и в удовлетворении заявления отказал. В кассационной жалобе управляющий Гирчев Н.Н. просит об отмене судебных актов апелляционного и окружного судов, ссылаясь на неправомерное распределение имущества и денежных средств между конкурсными массами супругов-должников.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общий характер обеспеченного залогом обязательства супругов и реализацию залоговым кредитором возникающего из него требования в деле о банкротстве должника, не позволяющие супруге должника претендовать на получение супружеской доли в заявленном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Гирчеву Н.Н.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