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22.02.2022, оставленным без изменения постановлением Девятого арбитражного апелляционного суда от 13.04.2022 и постановлением Арбитражного суда Московского округа от 22.07.2022, в утверждении Положения отказано; из конкурсной массы должника исключены ½ доли в жилом доме и земельном участке. В кассационной жалобе ФИО1 просит об отмене судебных актов, ссылаясь на игнорирование недобросовестных действий должника по приданию спорной недвижимости исполнительского иммунитета.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попадание спорного недвижимого имущества под исполнительский иммунитет, разрешив заявление должника в соответствии со статьей 446 Гражданского процессуального кодекса Российской Федерации, статьей 213.25 Федерального закона от 26.10.2002 № 127-ФЗ «О несостоятельности (банкротстве)» и позициями Конституционного и Верховного Судов Российской Федерации в отношении жилищных прав должника в процедурах банкротства. Доводы о недобросовестности должника оценены в соответствии с правомочиями судов и мотивированно отклонены.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Иные лица: Ассоциации СРО "ЦААУ" (подробнее) Судьи дела: Ксенофонтова Н.А. (судья) Последние документы по делу: Определение от 16 января 2023 г. по делу № А40-131447/2020 Определение от 21 ноября 2022 г. по делу № А40-131447/2020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