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29.03.2022 признано незаконным бездействие управляющего, выразившееся в уклонении от передачи залогового имущества на ответственное хранение залоговому кредитору, управляющий обязан предать кредитору имущество, требования о взыскании убытков и отстранении управляющего от исполнения обязанностей выделены в отдельное производство. Третий арбитражный апелляционный суд постановлением от 21.06.2022 отменил определение от 29.03.2022 и отказал в удовлетворении заявления. Арбитражный суд Восточно-Сибирского округа постановлением от 06.10.2022 постановление апелляционного суда от 21.06.2022 оставил без изменения. В кассационной жалобе Ситников А.В. просит об отмене судебных актов апелляционного и окружного судов, ссылаясь на нарушение определенного 2 залоговым кредитором порядка обеспечения сохранности залогового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между новым кредитором (заявителем) и финансовым управляющим имеются разногласия в связи с обеспечением сохранности заложенного имущества и нахождение в производстве суда заявления управляющего о их разрешении, в связи с чем оснований для констатации нарушений в действиях управляющего не установлено.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Ситникову Антону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