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08.04.2022, оставленным без изменения постановлением Второго арбитражного апелляционного суда от 06.06.2022 и постановлением Арбитражного суда Волго-Вятского округа от 21.10.2022, в удовлетворении заявления Соколова Н.М. об исправлении описки, допущенной в определении Арбитражного суда Костромской области от 14.03.2022,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попадает под случаи применения статьи 179 Арбитражного процессуального кодекса Российской Федерации, поэтому в удовлетворении заявления правомерно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