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25.03.2022, оставленным без изменения постановлением Десятого арбитражного апелляционного суда от 14.06.2022 и постановлением Арбитражного суда Московского округа от 20.09.2022, в удовлетворении заявления отказано. В кассационной жалобе Чурляев А.В. просит об отмене судебных актов, ссылаясь на неопределение характера спорного правоотношения.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заявленного управляющим основания для недействительности сделки по законодательству о банкротстве и указали на незаявление им ходатайства о назначении экспертизы для выявления обстоятельств, необходимых для установления иных оснований недействительности.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Чурляеву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