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14.03.2022, оставленным без изменения постановлением Одиннадцатого арбитражного апелляционного суда от 16.05.2022 и постановлением Арбитражного суда Поволжского округа от 16.09.2022, за Садыковой Х.Ш. признано право собственности квартиры № 5 и № 10, ее требование в части указанных квартир исключено из реестра о передаче жилых помещений, заявление Семирханова Л.Х. оставлено без удовлетворения, заявления Садыковой Х.Ш. о признании права собственности на квартиру № 6 выделено в отдельное производство. В кассационной жалобе Семирханов Л.Х. просит об отмене судебных актов в отношении квартиры № 5, ссылаясь на ненадлежащую оценку обстоятельств спора, неправильное применение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обязательство должника по передаче Садыковой Х.Ш. квартиры № 5 возникло ранее обязательства перед Семирхановым Л.Х., суды признали право собственности на спорную квартиру за Садыковой Х.Ш. в соответствии со статьей 398 Гражданского кодекса Российской Федерации и пунктом 61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прав». Доводы, приведенные в кассационной жалобе, являлись предметом рассмотрения судов и не создают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Семирханову Линару Ханяфиевичу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