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несоответствие их выводов фактическим обстоятельствам дела,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Исследовав и оценив представленные в материалы дела доказательства, руководствуясь положениями законодательства, регулирующими спорные правоотношения, суды пришли к выводу о наличии оснований для удовлетворения исковых требований, исходя из подтвержденности факта оказания истцом услуг ответчику и отсутствия доказательств их оплаты.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«Микрокредитная компания «Земля 12»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