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несоответствие их выводов фактическим обстоятельствам дела, просит пересмотреть указанные судебный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проанализировав условия спорного договора, руководствуясь положениями 2 законодательства, регулирующими спорные правоотношения, установив, что демонтированное оборудование после проведения работ оставлялось ответчиком (исполнитель) на территории истца (заказчик) вблизи места выполнения работ, доказательств обратного последним не представлено, отметив, что договором не определены порядок сдачи-приемки и утилизации демонтированных материалов ответчиком, а также место складирования, хранения или передачи материалов, принимая во внимание подписанные сторонами акты о приемке выполненных работ, суды не усмотрели оснований для удовлетворения первоначального иска о взыскании стоимости оборудования и неустойки. Исходя из того, что факт выполнения ответчиком спорных работ и передачи их результата истцу подтвержден направленными последнему актами о приемки выполненных работ, от подписания которых истец немотивированно отказался, оплату работ не произвел, суды удовлетворили встречные исковые требования.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«Международный аэропорт «Внуково»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