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15.03.2022. Определением Арбитражного суда Костромской области от 08.04.2022, оставленным без изменения постановлением Второго арбитражного апелляционного суда от 22.06.2022 и постановлением Арбитражного суда Волго-Вятского округа от 01.11.2022,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