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первой и кассационной инстанций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 первой и кассационной инстанций, руководствуясь положениями гражданского законодательства и законодательства, регулирующего обращение с твердыми коммунальными отходами (далее - ТКО) и порядок 2 их коммерческого учета объема и (или) массы, с учетом установленных фактических обстоятельств спора, исходили из недоказанности истцом заявленного объема оказанных услуг в спорный период.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«Спецавтохозяйство»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