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 просит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Удовлетворяя иск и подтверждая правильность этого вывода, суды первой и кассационной инстанций, руководствуясь положениями действующего законодательства, регулирующими спорные правоотношения, исходили из 2 доказанности истцом факта получения ответчиком спорных денежных средств в отсутствие предусмотренных законом или сделкой оснований. Приведенные в кассационной жалобе доводы не подтверждают существенных нарушений судами первой и кассационной инстанций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сельскохозяйственного потребительского кооператива «Байкальский фермер»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