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 от 05.04.2022. Определением Арбитражного суда Костромской области от 04.05.2022, оставленным без изменения постановлением Второго арбитражного апелляционного суда от 07.07.2022 и постановлением Арбитражного суда Волго-Вятского округа от 01.11.2022,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