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23.09.2021 иск удовлетворен частично. Постановлением Тринадцатого арбитражного апелляционного суда от 15.04.2022, оставленным без изменения постановлением Арбитражного суда Северо-Западного округа от 14.09.2022, решение от 23.09.2021 отменено, дело рассмотрено по правилам для суда первой инстанции, взыскано 41 808 рублей 85 копеек задолженности, 6 899 рублей 13 копеек неустойки. В кассационной жалобе общество «РусКон-С» просит об отмене судебных актов как незаконных.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Судебные акты соответствуют договору № ТМ06-04/19-ТЭО от 17.04.2019, обстоятельствам его исполнения и статьям 330, 333, 781, 801 Гражданского кодекса Российской Федерации. Доводы кассационной жалобы не подтверждают нарушения норм права и не составляют оснований для пересмотра судебных актов Верховным Судом Российской Федерации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«РусКон-С»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