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Кировской области от 28.04.2022, оставленным без изменения постановлением Второго арбитражного апелляционного суда от 01.07.2022 и постановлением Арбитражного суда Волго-Вятского округа от 29.09.2022, процедура реализации имущества должника завершена без применения правил об освобождении от дальнейшего исполнения требований ПАО «Сбербанк России». В кассационной жалобе ФИО1 просит о пересмотре судебных актов вследствие несоответствия выводов судов 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банком. Иная оценка должником своих действий противоречит установленным обстоятельствам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АССОЦИАЦИЯ "НАЦИОНАЛЬНАЯ ОРГАНИЗАЦИЯ АРБИТРАЖНЫХ УПРАВЛЯЮЩИХ" (подробнее) Межрайонная ИФНС №14 по Кировской области (подробнее) ПАО Сбербанк (подробнее) Свечинское подразделение Котельничского межрайонного отдела ЗАГС (подробнее) УМВД России по Кировской области (подробнее) Управление Федеральной службы судебных приставов по Кировской области (подробнее) Федеральная служба государственной регистрации,кадастра и картографии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