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22.06.2022 и постановлением Арбитражного суда Волго-Вятского округа от 01.11.2022,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