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Вопреки возражениям заявителя жалобы судебные акты основаны на правильном применении норм материального и процессуального права, изложенные в них выводы сформулированы по результатам полного и всестороннего исследования юридически значимых обстоятельств дела и надлежащей оценки представленных доказательств. Несогласие с выводами судов, вытекающее из доводов кассационной жалобы, в силу статьи 29114 Арбитражного процессуального кодекса Российской Федерации не может являться основанием для пересмотра судебных актов Судебной коллегией Верховного Суда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«Караван-Сервис»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"Караван-Сервис" (подробнее) Ответчики: ПАО Страховая Компания "Росгосстрах" Филиал в Республике Коми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