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16.03.2022. Определением Арбитражного суда Костромской области от 28.03.2022, оставленным без изменения постановлением Второго арбитражного апелляционного суда от 29.06.2022 и постановлением Арбитражного суда Волго-Вятского округа от 01.11.2022,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