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Дубинова Д.В. в Арбитражный суд Нижегородской области обратилось ООО «ТК Сибирь-Ойл» с заявлением о замене в порядке процессуального правопреемства в реестре требований кредиторов должника конкурсного кредитора – ООО «Экспо Гласс» с суммой требования 404 810 672 рубля 90 копеек, обеспеченного залогом имущества должника, на ООО «ТК Сибирь-Ойл». Определением Арбитражного суда Нижегородской области от 24.09.2021, оставленным без изменения постановлением Первого арбитражного апелляционного суда от 05.04.2022, заявление удовлетворено. Арбитражный суд Волго-Вятского округа постановлением от 30.09.2022 указанные судебные акты отменил и отказал в удовлетворении заявления общества. ООО «ТК Сибирь-Ойл» обратилось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Разрешая спор, окружной суд руководствовался положениями статей 350, 350.1, 358.8, 382, 384 Гражданского кодекса Российской Федерации, статьей 48 Арбитражного процессуального кодекса Российской Федерации и исходил из отсутствия правопреемства в материальном правоотношении, что исключает возможность процессуального правопреемства.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