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договоров аренды от 02.05.2017, заключённых между должником (арендатором) и предпринимателем ФИО2 (арендодателем) в отношении котельных с инженерным оборудованием, расположенных по адресам: &lt;...&gt;; &lt;...&gt;; &lt;...&gt;; применении последствий недействительности сделок. Определением Арбитражного суда Омской области от 11.07.2019, оставленным без изменения постановлениями Восьмого арбитражного апелляционного суда от 26.09.2019 и Арбитражного суда Западно-Сибирского округа от 16.12.2019, заявление удовлетворено частично.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руководствуясь статьями 10 , 167 Гражданского кодекса Российской Федерации, статьями 61.1, 61.2, 61.6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результатов проведённой по делу судебной экспертизы, установившей существенное расхождение согласованной сторонами ежемесячной арендной платы по переданным должнику котельным в пос. Ростовка и пос. Ключи (кроме котельной в мкрн. Входной) от цены, по которой в сравнимых обстоятельствах совершаются аналогичные сделки, что указывало на неравноценность встречного исполнения по заключенным в отношении названных объектов сделок и наличие оснований для признания их недействительными.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 несогласии с результатами судебной экспертизы, наряду с иными изложенными в настоящей жалобе доводами,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«Холдинговая компания «СтройТеплоМонтаж-Омск» Че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"ГАЗПРОМ МЕЖРЕГИОНГАЗ ОМСК" (подробнее) ООО Конкурсный управляющий "Холдинговая Компания "СтройТеплоМонтаж-Омск" Че Денис Чехонович (подробнее) Ответчики: ИП Марсеев Сергей Александрович (подробнее) ООО "СТМ-ПАРТНЕР" (подробнее) ООО Холдинговая компания "СтройТеплоМонтаж-Омск" (подробнее) Иные лица: а/у Че Д.Ч. (подробнее) ГИБДД отдел МВД России по Черлакскому району (подробнее) Государственная жилищная инспекция Омской области (подробнее) МИФНС №12 по Омской области (подробнее) МИФНС №1 по Омской обл. (подробнее) ООО "Комплекттеплосервис" (подробнее) Подразделение по вопросам миграции УМВД России по Омской обл. (подробнее) Управление Федеральной службы государственной регистрации, кадастра и картографии по Омской области (подробнее) Судьи дела: Корнелюк Е.С. (судья) (подробнее) Последние документы по делу: Определение от 16 января 2023 г. по делу № А46-2493/2018 Определение от 10 марта 2020 г. по делу № А46-2493/2018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