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Судебные акты основаны на всестороннем, полном и объективном исследовании имеющихся в деле доказательств со ссылкой на законы и иные нормативные правовые акты, исходя из принципов равноправия сторон и состязательности процесса. При рассмотрении спора суды, в том числе указали на отсутствие в материалах дела достаточных допустимых доказательств того, что выявленные в спорный период превышения загрязняющих веществ в атмосферном воздухе в зоне жилой застройки связаны непосредственно с деятельностью АО «Москокс». Переоценка вводов судов, на которую направлены доводы жалобы, и установление иных фактических обстоятельств дела не относятся к полномочиям Судебной коллегии Верховного Суда Российской Федерации.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Межрегиональному управлению Федеральной службы по надзору в сфере природопользования по Московской и Смоленской областям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