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Шевчука В.А. в Арбитражный суд города Москвы обратился Банк ВТБ (ПАО) с заявлением о признании статуса залогового кредитора (право залога на квартиру). Определением Арбитражного суда города Москвы от 11.02.2022 в удовлетворении заявления отказано. Постановлением Девятого арбитражного апелляционного суда от 20.04.2022 определение суда первой инстанции отменено, признано право залога банка на спорную квартиру. Арбитражный суд Московского округа постановлением от 28.09.2022 постановление суда апелляционной инстанции оставил без изменения. Должник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апелляционной и кассационной инстанций исходили из того, что в действительности между должником и товариществом на вере (коммандитным товариществом) «Су-№155» и «Компания» возникли обязательства не из купли-продажи векселей, а из договора долевого участия в строительстве, банку фактически были переданы в залог не векселя, а права требования по договору участия в долевом строительстве, спорная квартира приобретена за счет кредитных средств и в пользу банка возникла ипотека (залог недвижимости) квартиры.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