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15.06.2022 и постановлением Арбитражного суда Волго-Вятского округа от 28.10.2022,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