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Гущиной М.В. в Арбитражный суд города Санкт-Петербурга и Ленинградской области обратилась должник с заявлением об исключении из конкурсной массы денежных средств в размере 5 175 908 рублей 10 копеек, оставшихся после реализации предмета залога за вычетом включенного в реестр требования залогового кредитора и погашения текущих платежей, в целях обеспечения должника и двух ее несовершеннолетних детей единственным жильем. Определением Арбитражного суда города Санкт-Петербурга и Ленинградской области от 23.04.2022, оставленным без изменения постановлением Тринадцатого арбитражного апелляционного суда от 20.07.2022 и постановлением Арбитражного суда Северо-Западного округа от 14.11.2022, заявление удовлетворено. Банк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суды исходили из предпочтительного права должника перед требованиями иных кредиторов, за исключением требования залогодержателя в размере основного долга, направить имеющиеся у нее денежные средства, оставшиеся от реализации заложенного имущества, на обеспечение своего конституционного права на жилище. Мораторные проценты по требованию залогового кредитора подлежат удовлетворению после погашения требований всех кредиторов третьей очереди (включая незалоговых) преимущественно перед удовлетворением необеспеченных требований кредиторов по мораторным процентам.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