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ходатайством об исключении из конкурсной массы имущества. Определением Арбитражного суда Костромской области от 13.01.2020 ходатайство должника возвращено применительно к пункту 4 части 1 статьи 129 Арбитражного процессуального кодекса Российской Федерации. Определением Второго арбитражного апелляционного суда от 09.08.2022 апелляционная жалоба должника на определение суда первой инстанции возвращена на основании пункта 3 части 1 статьи 264 Арбитражного процессуального кодекса Российской Федерации в связи с пропуском срока подачи апелляционной жалобы и отказом в его восстановлении. Арбитражный суд Волго-Вятского округа постановлением от 28.10.2022 определение суда апелляционной инстанции оставил без изменения. Должник обратился в Судебную коллегию Верховного Суда Российской Федерации с кассационной жалобой на судебные акты апелляционной и кассационной инстанций,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пропуск должником срока на обращение с апелляционной жалобой не связан с отсутствием у него сведений об обжалуемом судебном акте по обстоятельствам, от него не зависящим, должник, являющийся заявителем по обособленному спору, надлежащим образом извещен о времени и месте рассмотрения спора об исключении из конкурсной массы имущества, суд апелляционной инстанции пришел к выводу об отсутствии оснований для удовлетворения ходатайства о восстановлении пропущенного срока, учитывая также, что жалоба на определение суда первой инстанции подана за пределами шестимесячного срока на обжалование.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апелляционной инстанции, установленным фактическим обстоятельствам и имеющимся в деле доказательствам.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