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ходатайством об исключении из конкурсной массы денежной суммы либо выделения имущества, в том числе для покрытия прожиточного минимума семьи в период процедуры реализации имущества. Определением Арбитражного суда Костромской области от 12.04.2021 ходатайство должника об исключении из конкурсной массы денежных средств возвращено применительно к пункту 4 части 1 статьи 129 Арбитражного процессуального кодекса Российской Федерации. Определением Второго арбитражного апелляционного суда от 08.08.2022 апелляционная жалоба должника на определение суда первой инстанции возвращена на основании пункта 3 части 1 статьи 264 Арбитражного процессуального кодекса Российской Федерации в связи с пропуском срока подачи апелляционной жалобы и отказом в его восстановлении. Арбитражный суд Волго-Вятского округа постановлением от 28.10.2022 определение суда апелляционной инстанции оставил без изменения. Должник обратился в Судебную коллегию Верховного Суда Российской Федерации с кассационной жалобой на судебные акты апелляционной и кассационной инстанций, ссылаясь на существенные нарушения норм права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пропуск должником срока на обращение с апелляционной жалобой не связан с отсутствием у него сведений об обжалуемом судебном акте по обстоятельствам, от него не зависящим, должник, являющийся заявителем по обособленному спору, надлежащим образом извещен о времени и месте рассмотрения спора об исключении из конкурсной массы денежных средств, суд апелляционной инстанции пришел к выводу об отсутствии оснований для удовлетворения ходатайства о восстановлении пропущенного срока, учитывая также, что жалоба на определение суда первой инстанции подана за пределами шестимесячного срока на обжалование.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