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 к постановлению апелляционного суда от 28.04.2022. Определением Второго арбитражного апелляционного суда от 16.06.2022, оставленным без изменения постановлением Арбитражного суда Волго- Вятского округа от 28.10.2022,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