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15.03.2022. Определением Арбитражного суда Костромской области от 08.04.2022, оставленным без изменения постановлением Второго арбитражного апелляционного суда от 15.06.2022 и постановлением Арбитражного суда Волго-Вятского округа от 28.10.2022,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