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25.01.2018, оставленным в силе судами апелляционной и кассационной инстанций, иск удовлетворен в части взыскания с ответчика в пользу истца 5 259 730 долларов США неосновательного обогащения, 77 951,08 долларов США процентов. В удовлетворении остальной части иска отказано. В кассационной жалобе, поданной в Верховный Суд Российской Федерации, фирма указывает на нарушения в толковании и применении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Из представленных материалов следует, что корпорация (покупатель) обратилась в арбитражный суд с иском по настоящему делу, ссылаясь на отсутствие встречного предоставления со стороны фирмы (продавца) по поставке оплаченного покупателем товара и невозврат продавцом оплаты за товар, перечисленной покупателем в рамках договора от 05.09.2012 № PARAG/18-TO. Исследовав и оценив в порядке, предусмотренном статьей 71 АПК РФ , представленные сторонами доказательства, руководствуясь положениями статей 309 , 310 , 395 , 454 , 458 , 487 , 1102 Гражданского кодекса Российской Федерации, суды пришли к выводу об обоснованности заявленных требований, исходя из отсутствия доказательств исполнения поставщиком обязательства по поставке товара либо возврата полученной продавцом от покупателя суммы. При этом суды учитывали, что заключение внешнеэкономических контрактов и осуществление валютных операций между резидентами и нерезидентами императивно регулируется валютным законодательством Российской Федерации и актами органов валютного регулирования, за нарушение которого установлена административная ответственность (статья 15.25 Кодекса Российской Федерации об административных правонарушениях), поэтому все действия корпорации в период осуществления спорных платежей проверялись на предмет их соответствия действующего валютного законодательства Российской Федерации. Вместе с тем, вопреки возражениям ответчика, доказательств признания действий корпорации незаконными применительно к заключению контракта либо перечислению спорных денежных средств поименованному в паспорте сделки нерезиденту (фирме), в материалы дела не представлено. Оснований не согласиться с выводами судебных инстанций не имеется. Возражения заявителя, изложенные в настоящей кассационной жалобе, являлись предметом рассмотрения нижестоящих судов и сводятся к переоценке надлежаще исследованных ими доказательств.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Истцы: ООО "Генеральная продовольственная корпорация "Рубеж" (подробнее) Ответчики: FRIGORIFICO CONCEPTION S.A. (подробнее) FRIGORIFICO CONCEPTIONS S.A. (подробнее) Иные лица: Главное управление Министерства юстиции РФ по Санкт-Петербургу (подробнее) Межрайонная инспекция Федеральной налоговой службы №11 по Санкт-Петербургу (подробнее) ПАО "Энергомашбанк"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