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Thyssenkrupp Materials Trading GmbH (далее – компания) обратилась в суд с заявлением (с учетом уточнения) о включении в реестр требований кредиторов должника задолженности по контракту от 27.11.2015 в размере 3 556 846 Евро, что в рублях по курсу Центрального банка Российской Федерации на дату введения процедуры наблюдения составляет 266 105 789 рублей, как обеспеченной залогом имущества должника. Определением Арбитражного суда Челябинской области от 10.07.2019 к рассмотрению принято встречное заявление должника о признании отсутствующим залогового обязательства перед компанией в отношении имущества должника. Определением Арбитражного суда Челябинской области от 01.08.2019 заявление компании признано обоснованным; требования компании в заявленном размере включены в третью очередь реестра требований кредиторов должника как обеспеченные залогом; в удовлетворении встречного заявления должника отказано. Постановлениями Восемнадцатого арбитражного апелляционного суда от 01.10.2019 и Арбитражного суда Уральского округа от 26.12.2019 определение суда первой инстанции оставлено без изменения. В кассационной жалобе, поданной в Верховный Суд Российской Федерации, банк просит отменить определение и постановления судов первой, апелляционной инстанций и округа, приняв новый судебный акт об оставлении без удовлетворения заявления компании в части признания ее требований обеспеченными залогом имущества должника.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принятых по делу о банкротстве, и доводов кассационной жалобы не установлено. Удовлетворяя заявление компании в обжалуемой части, суды первой и апелляционной инстанций руководствовались статьями 71, 100, 134, 137 Федерального закона от 26.10.2002 № 127-ФЗ «О несостоятельности (банкротстве)», статьей 488 Гражданского кодекса Российской Федерации и исходили из того, что контракт от 27.11.2015 заключен с условием продажи в кредит, следовательно, поскольку контрактом не предусмотрено иное, объект этого договора считается находящимся в залоге у продавца (компании) в силу закона. Кроме того, ссылаясь на разъяснения, изложенные в пункте 26 постановления Пленума Высшего Арбитражного Суда Российской Федерации от 17.02.2011 № 10 «О некоторых вопросах применения законодательства о залоге», суды отметили, что в данном случае в связи с отказом покупателя возвратить товар после расторжения контракта неисполненное обязательство должника по оплате поставленного товара продолжает обеспечиваться залогом соответствующего товара. С данными выводами согласился суд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Thyssenkrupp Materials Trading GmbH (подробнее) АО "Российский сельскохозяйственный банк" (подробнее) АО "ЮниКредит Банк" (подробнее) ООО "Алмир" (подробнее) ООО "Дом Контор" (подробнее) ООО "Логард" (подробнее) ПАО Акционерный коммерческий банк "Абсолют Банк" (подробнее) Ответчики: ООО "Си Айрлайд" (подробнее) Иные лица: АО "Россельхозбанк" (подробнее) Ассоциация "Саморегулируемая организация арбитражных управляющих "Меркурий" (подробнее) Ассоциация "Саморегулируемая организация арбитражных управляющих "Южный Урал" (подробнее) Временный управляющий Гавришов Максим Васильевич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