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21.02.2022, оставленным без изменения постановлением Седьмого арбитражного апелляционного суда от 19.05.2022 и постановлением Арбитражного суда Западно-Сибирского округа от 18.08.2022, в удовлетворении заявления отказано. В кассационной жалобе Терешкова О.Н. просит об отмене судебных актов, ссылаясь на нарушение жилищных прав должника и его несовершеннолетних детей.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согласно решению суда общей юрисдикции спорный дом признан самовольной постройкой и должник обязан к сносу дома, поэтому у дома отсутствует статус жилого помещения и на него не распространяются правила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(банкротстве)». В случае неисполнения решения суда о сносе дома и истечения срока на принудительное исполнение этого решения должник вправе защитить права в отношении дома в порядке, указанном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Терешковой Ольге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