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Гомжина К.В. в Арбитражный суд Омской области обратилось ООО «Финансовая грамотность» с заявлением о включении требования в размере 48 071 рубля 38 копеек в реестр требований кредиторов должника. Определением Арбитражного суда Омской области от 04.04.2022, оставленным без изменения постановлением Восьмого арбитражного апелляционного суда от 09.06.2022 и постановлением Арбитражного суда Западно-Сибирского округа от 26.10.2022, заявленное требование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должника. ООО «Финансовая грамотность»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обоснованным и подлежащим удовлетворению за счет имущества, оставшегося после удовлетворения требований кредиторов, включенных в реестр требований кредиторов должника, суды исходили из того, что требование предъявлено в суд за пределами срока, установленного пунктом 1 статьи 142 Федерального закона от 26.10.2002 № 127-ФЗ «О несостоятельности (банкротстве)» (после закрытия реестра), в отсутствие уважительных причин пропуска срока, учитывая, что право требования к должнику приобретено по договорам цессии у кредитной организации, осведомленной о введении в отношении своих клиентов-граждан процедур банкротства.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