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06.12.2021 по заявлению Федеральной налоговой службы в лице Межрайонной инспекции Федеральной налоговой службы № 30 по Свердловской области Кураев Т.В. признан несостоятельным (банкротом), в отношении него введена процедура реализации имущества гражданина. Постановлением Семнадцатого арбитражного апелляционного суда от 16.02.2022 решение суда первой инстанции отменено, заявление уполномоченного органа признано необоснованным, производство по делу о банкротстве Кураева Т.В. прекращено. Кураев Т.В. обратился в Арбитражный суд Свердловской области с заявлением о взыскании судебных расходов в размере 94 404 рублей 60 копеек. Определением Арбитражного суда Свердловской области от 10.06.2022 заявление удовлетворено в части взыскания 40 000 рублей на оплату услуг представителя, 150 рублей - расходы по оплате государственной пошлины за подачу апелляционной жалобы, 514 рублей 60 копеек - почтовые расходы, 2 300 рублей - расходы за оформление нотариальной доверенности, 440 рублей 2 - расходы за свидетельствование верности копии доверенности; в удовлетворении заявления в остальной части отказано. Постановлением Семнадцатого арбитражного апелляционного суда от 24.08.2022 определение суда первой инстанции оставлено без изменения. Арбитражный суд Уральского округа постановлением от 31.10.2022 указанные судебные акты оставил без изменения. Кураев Т.В. обратился в Судебную коллегию Верховного Суда Российской Федерации с кассационной жалобой на принятые по спору судебные акты в части отказа в возмещении расходов на оплату услуг представителя,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установлено. Разрешая вопрос о возмещении расходов на оплату услуг представителя, суды оценили представленные доказательства, учли критерии отнесения расходов к судебным издержкам, связанным с рассмотрением дела в арбитражном суде, фактические обстоятельства дела, характер и сложность спора, объем фактически оказанных услуг, критерии разумности и справедливости, баланс интересов сторон и признали обоснованными и подлежащими возмещению судебные издержки в размере 40 000 рублей, что соответствует положениям статей 101, 106, 110 Арбитражного процессуального кодекса Российской Федерации, разъяснениям, изложенным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