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привлечении к субсидиарной ответственности по обязательствам должника ФИО4, ФИО2 по основаниям, предусмотренным абзацем четвёртым пункта 4 статьи 10 Федерального закона от 26.10.2020 № 127-ФЗ «О несостоятельности (банкротстве)» (далее – Закон о банкротстве). Определением Арбитражного суда Кемеровской области от 24.07.2020 заявление удовлетворено. Постановлением Седьмого арбитражного апелляционного суда от 14.12.2020 названное определение суда первой инстанции отменено по безусловным основаниям; заявление рассмотрено по правилам, установленным для рассмотрения дела в суде первой инстанции и удовлетворено. Постановлением Арбитражного суда Западно-Сибирского округа от 22.06.2020 постановление апелляционного суда от 14.12.2020 отменено в части привлечения ФИО2 к субсидиарной ответственности по обязательствам должника, в отменённой части обособленный спор направлен на новое рассмотрение в апелляционный суд. В остальной части судебный акт оставлен без изменения. При новом рассмотрении постановлением Седьмого арбитражного апелляционного суда от 18.05.2021, оставленным без изменения постановлением Арбитражного суда Западно-Сибирского округа от 27.08.2021, признано доказанным наличие оснований для привлечения Бобылевой (Беркович) Е.И. к субсидиарной ответственности по обязательствам должника. В кассационной жалобе, поданной в Верховный Суд Российской Федерации, заявитель просит принятые на новом рассмотрении постановления судов апелляционной инстанции и округа отменить, принять по делу новый судебный акт об отказе в удовлетворении заявления о привлечении её к субсидиарной ответственности.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абзацем четвёртым пункта 4 статьи 10 Закона о банкротстве в редакции Федерального закона от 28.06.2013 № 134-ФЗ «О внесении изменений в отдельные законодательные акты Российской Федерации в части противодействия незаконным финансовым операциям», исходили из доказанности совокупности условий, необходимых для привлечения к субсидиарной ответственности заявителя, контролировавшей наряду со своим отцом деятельность должника, являвшейся выгодоприобретателем вывода активов и не передавшей первичную и иную бухгалтерскую документацию, что воспрепятствовало формированию конкурсной массы. Рассмотрев возражения о пропуске срока исковой давности, суды мотивированно их отклонили.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о пропуске конкурсным управляющим срока исковой давности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