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подает кассационную жалобу на указанные судебные акты, одновременно ходатайствуя об отсрочке уплаты государственной пошлины за ее подачу. При этом общество ссылается на то, что имущественное положение не позволяет единовременно уплатить государственную пошлину. 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Кодекса. 2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Так, к документам, устанавливающим имущественное положение, относятся: во-первых,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во-вторых,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на момент подачи кассационной жалобы. При отсутствии таких документов в удовлетворении ходатайства должно быть отказано. Учитывая, что обществом не представлены документы, подтверждающие отсутствие на момент подачи кассационной жалобы в Верховный Суд Российской Федерации денежных средств в размере, необходимом для уплаты государственной пошлины, оснований для удовлетворения ходатайства об отсрочке уплаты государственной пошлины не имеется. При изложенных обстоятельствах кассационная жалоба подлежит возвращению без рассмотрения по существу в соответствии с пунктом 1 части 1 статьи 291.5 АПК РФ. Руководствуясь статьями 184,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ответственностью«Электроремонтная строительная компания» в удовлетворении ходатайства об отсрочке уплаты государственной пошлины, кассационную жалобу возвратить заявителю. Судья Верховного Суда Борисова Е.Е.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