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января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Вопреки доводам жалобы судебные акты основаны на правильном применении норм материального и процессуального права, изложенные в них 2 выводы сформулированы по результатам полного и всестороннего исследования юридически значимых обстоятельств дела и надлежащей оценки представленных доказательств.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«БиЭйВи Материалз»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