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поставки истцом и получения ответчиком товара, отсутствие доказательств его оплаты, руководствуясь статьями 309, 2 310, 408, 486, 506, 516 Гражданского кодекса Российской Федерации, суды первой и апелляционной инстанций пришли к выводу о наличии оснований для удовлетворения иска, с чем впоследствии согласился суд округа. Приведенные в кассационной жалобе доводы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Ходатайство заявителя о приостановлении исполнения обжалуемых судебных актов рассмотрению не подлежит, поскольку в передаче его кассационной жалобы для рассмотрения в судебном заседании Судебной коллегии Верховного Суда Российской Федерации отказано.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«Уральский ЖБК»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