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30.12.2022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2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Заявитель являлся инициатором кассационного обжалования в суде округа, судебный акт своевременно размещен в информационной базе «Картотека арбитражных дел» сети Интернет. Таким образом, заявитель знал о состоявшихся судебных актах и, намереваясь обжаловать постановление суда кассационной инстанции, имел реальную возможность в предусмотренный законодательством срок принять своевременные меры, необходимые для подготовки и подачи кассационной жалобы.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«Служба заказчика по Жилищно-коммунальному хозяйству Ленинского района»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