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возражениям заявителя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Переоценка доказательств, на которую направлены доводы жалобы, и установление на её основе иных фактических обстоятельств дела не относятся к 2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