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судом округа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ходатайства о восстановлении пропущенного срока подачи кассационной жалобы и возвращая жалобу, суд округа, руководствуясь положениями статей 117, 276, 281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25.12.2013 № 99 «О процессуальных сроках», 2 исходил из того, что приведенные заявителем причины пропуска срока не являются уважительными. С указанными выводами согласился суд округа при рассмотрении жалобы заявителя, поданной в порядке статьи 291 Арбитражного процессуального кодекса Российской Федерации. Доводы кассационной жалобы были предметом рассмотрения суда и получили правовую оценку, не опровергают выводы суда и не подтверждают существенных нарушений норм права, повлиявших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«Технологическая Компания Центр»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