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дополнительных соглашений 2 к спорному договору, установив факт выполнения истцом работ и направления им в адрес ответчика откорректированных актов и справок по формам КС-2 и КС-3 с применением согласованного понижающего коэффициента, отсутствие мотивированного отказа ответчика от их подписания, а также доказательств оплаты спорной задолженности, проверив и признав верным представленный истцом расчет, руководствуясь статьями 309, 310, 395, 702, 711, 740, 746 Гражданского кодекса Российской Федерации, суды первой и апелляционной инстанций пришли к выводу об удовлетворении исковых требований,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«Мосотделстрой №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